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B09" w:rsidRPr="00BB6B09" w:rsidRDefault="00BB6B09" w:rsidP="00BB6B09">
      <w:pPr>
        <w:rPr>
          <w:rFonts w:ascii="Roboto" w:hAnsi="Roboto"/>
        </w:rPr>
      </w:pPr>
    </w:p>
    <w:p w:rsidR="00BB6B09" w:rsidRPr="00BB6B09" w:rsidRDefault="00BB6B09" w:rsidP="00BB6B09">
      <w:pPr>
        <w:shd w:val="clear" w:color="auto" w:fill="FFFFFF"/>
        <w:spacing w:before="375" w:after="225"/>
        <w:textAlignment w:val="baseline"/>
        <w:outlineLvl w:val="2"/>
        <w:rPr>
          <w:rFonts w:ascii="Roboto" w:eastAsia="Times New Roman" w:hAnsi="Roboto" w:cs="Arial"/>
          <w:color w:val="4C4C4C"/>
          <w:spacing w:val="2"/>
          <w:sz w:val="38"/>
          <w:szCs w:val="38"/>
          <w:lang w:eastAsia="ru-RU"/>
        </w:rPr>
      </w:pPr>
      <w:r w:rsidRPr="00BB6B09">
        <w:rPr>
          <w:rFonts w:ascii="Roboto" w:eastAsia="Times New Roman" w:hAnsi="Roboto" w:cs="Arial"/>
          <w:color w:val="4C4C4C"/>
          <w:spacing w:val="2"/>
          <w:sz w:val="38"/>
          <w:szCs w:val="38"/>
          <w:lang w:eastAsia="ru-RU"/>
        </w:rPr>
        <w:t>Приложение 12. Целевые значения критериев доступности и качества медицинской помощи, оказываемой в рамках Территориальной программы госгарантий</w:t>
      </w:r>
    </w:p>
    <w:p w:rsidR="00BB6B09" w:rsidRPr="00BB6B09" w:rsidRDefault="00BB6B09" w:rsidP="00BB6B09">
      <w:pPr>
        <w:shd w:val="clear" w:color="auto" w:fill="FFFFFF"/>
        <w:spacing w:line="315" w:lineRule="atLeast"/>
        <w:jc w:val="right"/>
        <w:textAlignment w:val="baseline"/>
        <w:rPr>
          <w:rFonts w:ascii="Roboto" w:eastAsia="Times New Roman" w:hAnsi="Roboto" w:cs="Arial"/>
          <w:color w:val="2D2D2D"/>
          <w:spacing w:val="2"/>
          <w:sz w:val="21"/>
          <w:szCs w:val="21"/>
          <w:lang w:eastAsia="ru-RU"/>
        </w:rPr>
      </w:pPr>
      <w:r w:rsidRPr="00BB6B09">
        <w:rPr>
          <w:rFonts w:ascii="Roboto" w:eastAsia="Times New Roman" w:hAnsi="Roboto" w:cs="Arial"/>
          <w:color w:val="2D2D2D"/>
          <w:spacing w:val="2"/>
          <w:sz w:val="21"/>
          <w:szCs w:val="21"/>
          <w:lang w:eastAsia="ru-RU"/>
        </w:rPr>
        <w:br/>
      </w:r>
      <w:bookmarkStart w:id="0" w:name="_GoBack"/>
      <w:bookmarkEnd w:id="0"/>
      <w:r w:rsidRPr="00BB6B09">
        <w:rPr>
          <w:rFonts w:ascii="Roboto" w:eastAsia="Times New Roman" w:hAnsi="Roboto" w:cs="Arial"/>
          <w:color w:val="2D2D2D"/>
          <w:spacing w:val="2"/>
          <w:sz w:val="21"/>
          <w:szCs w:val="21"/>
          <w:lang w:eastAsia="ru-RU"/>
        </w:rPr>
        <w:br/>
        <w:t>Приложение 12</w:t>
      </w:r>
      <w:r w:rsidRPr="00BB6B09">
        <w:rPr>
          <w:rFonts w:ascii="Roboto" w:eastAsia="Times New Roman" w:hAnsi="Roboto" w:cs="Arial"/>
          <w:color w:val="2D2D2D"/>
          <w:spacing w:val="2"/>
          <w:sz w:val="21"/>
          <w:szCs w:val="21"/>
          <w:lang w:eastAsia="ru-RU"/>
        </w:rPr>
        <w:br/>
        <w:t>к Территориальной программе</w:t>
      </w:r>
      <w:r w:rsidRPr="00BB6B09">
        <w:rPr>
          <w:rFonts w:ascii="Roboto" w:eastAsia="Times New Roman" w:hAnsi="Roboto" w:cs="Arial"/>
          <w:color w:val="2D2D2D"/>
          <w:spacing w:val="2"/>
          <w:sz w:val="21"/>
          <w:szCs w:val="21"/>
          <w:lang w:eastAsia="ru-RU"/>
        </w:rPr>
        <w:br/>
        <w:t>государственных гарантий бесплатного</w:t>
      </w:r>
      <w:r w:rsidRPr="00BB6B09">
        <w:rPr>
          <w:rFonts w:ascii="Roboto" w:eastAsia="Times New Roman" w:hAnsi="Roboto" w:cs="Arial"/>
          <w:color w:val="2D2D2D"/>
          <w:spacing w:val="2"/>
          <w:sz w:val="21"/>
          <w:szCs w:val="21"/>
          <w:lang w:eastAsia="ru-RU"/>
        </w:rPr>
        <w:br/>
        <w:t>оказания гражданам медицинской помощи</w:t>
      </w:r>
      <w:r w:rsidRPr="00BB6B09">
        <w:rPr>
          <w:rFonts w:ascii="Roboto" w:eastAsia="Times New Roman" w:hAnsi="Roboto" w:cs="Arial"/>
          <w:color w:val="2D2D2D"/>
          <w:spacing w:val="2"/>
          <w:sz w:val="21"/>
          <w:szCs w:val="21"/>
          <w:lang w:eastAsia="ru-RU"/>
        </w:rPr>
        <w:br/>
        <w:t>в Республике Крым на 2020 год</w:t>
      </w:r>
      <w:r w:rsidRPr="00BB6B09">
        <w:rPr>
          <w:rFonts w:ascii="Roboto" w:eastAsia="Times New Roman" w:hAnsi="Roboto" w:cs="Arial"/>
          <w:color w:val="2D2D2D"/>
          <w:spacing w:val="2"/>
          <w:sz w:val="21"/>
          <w:szCs w:val="21"/>
          <w:lang w:eastAsia="ru-RU"/>
        </w:rPr>
        <w:br/>
        <w:t>и на плановый период 2021 и 2022 годов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9"/>
        <w:gridCol w:w="2164"/>
        <w:gridCol w:w="1436"/>
        <w:gridCol w:w="891"/>
        <w:gridCol w:w="1035"/>
      </w:tblGrid>
      <w:tr w:rsidR="00BB6B09" w:rsidRPr="00BB6B09" w:rsidTr="00BB6B09">
        <w:trPr>
          <w:trHeight w:val="12"/>
        </w:trPr>
        <w:tc>
          <w:tcPr>
            <w:tcW w:w="4250" w:type="dxa"/>
            <w:hideMark/>
          </w:tcPr>
          <w:p w:rsidR="00BB6B09" w:rsidRPr="00BB6B09" w:rsidRDefault="00BB6B09" w:rsidP="00BB6B09">
            <w:pPr>
              <w:jc w:val="left"/>
              <w:rPr>
                <w:rFonts w:ascii="Roboto" w:eastAsia="Times New Roman" w:hAnsi="Roboto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218" w:type="dxa"/>
            <w:hideMark/>
          </w:tcPr>
          <w:p w:rsidR="00BB6B09" w:rsidRPr="00BB6B09" w:rsidRDefault="00BB6B09" w:rsidP="00BB6B09">
            <w:pPr>
              <w:jc w:val="left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BB6B09" w:rsidRPr="00BB6B09" w:rsidRDefault="00BB6B09" w:rsidP="00BB6B09">
            <w:pPr>
              <w:jc w:val="left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hideMark/>
          </w:tcPr>
          <w:p w:rsidR="00BB6B09" w:rsidRPr="00BB6B09" w:rsidRDefault="00BB6B09" w:rsidP="00BB6B09">
            <w:pPr>
              <w:jc w:val="left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hideMark/>
          </w:tcPr>
          <w:p w:rsidR="00BB6B09" w:rsidRPr="00BB6B09" w:rsidRDefault="00BB6B09" w:rsidP="00BB6B09">
            <w:pPr>
              <w:jc w:val="left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Наименование показателя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Единица измерения</w:t>
            </w:r>
          </w:p>
        </w:tc>
        <w:tc>
          <w:tcPr>
            <w:tcW w:w="35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Целевой показатель</w:t>
            </w:r>
          </w:p>
        </w:tc>
      </w:tr>
      <w:tr w:rsidR="00BB6B09" w:rsidRPr="00BB6B09" w:rsidTr="00BB6B09">
        <w:tc>
          <w:tcPr>
            <w:tcW w:w="42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jc w:val="left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jc w:val="left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2020 г.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2021 г.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2022 г.</w:t>
            </w:r>
          </w:p>
        </w:tc>
      </w:tr>
      <w:tr w:rsidR="00BB6B09" w:rsidRPr="00BB6B09" w:rsidTr="00BB6B09">
        <w:tc>
          <w:tcPr>
            <w:tcW w:w="99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Критерии качества медицинской помощи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Удовлетворенность населения медицинской помощью, в том числе городского и сельского населения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 от числа опрошенных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21,5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городское население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 от числа опрошенных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21,5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сельское население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 от числа опрошенных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21,5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Смертность населения в трудоспособном возрасте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100 тыс.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500,0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500,0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500,0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умерших в трудоспособном возрасте на дому к общему количеству умерших в трудоспособном возрасте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34,0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34,0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34,0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Материнская смертность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100 тыс. родившихся живыми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Младенческая смертность, в том числе в городской и в сельской местности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1000 родившихся живыми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4,8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4,75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4,70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в городской местности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1000 родившихся живыми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4,3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4,25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4,20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в сельской местности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1000 родившихся живыми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5,3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5,25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5,20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умерших в возрасте до 1 года на дому в общем количестве умерших в возрасте до 1 года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13,2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13,2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13,2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Смертность детей в возрасте 0 - 4 лет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на 1000 родившихся </w:t>
            </w: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lastRenderedPageBreak/>
              <w:t>живыми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lastRenderedPageBreak/>
              <w:t>113,0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113,0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113,0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Смертность населения, в том числе городского и сельского населения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1000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13,8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13,6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13,6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в городской местности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1000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14,1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13,9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13,9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в сельской местности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1000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13,5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13,3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13,3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умерших в возрасте 0 - 4 лет на дому в общем количестве умерших в возрасте 0 - 4 лет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10,0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10,0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10,0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Смертность детей в возрасте 0 - 17 лет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100 тыс. человек населения соответствующего возраста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52,2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52,2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52,2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умерших в возрасте 0 - 17 лет на дому в общем количестве умерших в возрасте 0 - 17 лет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14,0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14,0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14,0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впервые выявленных заболеваний при профилактических медицинских осмотрах, в том числе в рамках диспансеризации, в общем количестве впервые в жизни зарегистрированных заболеваний в течение года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11,1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11,4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11,7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впервые выявленных заболеваний при профилактических медицинских осмотрах, в том числе в рамках диспансеризации, лиц старше трудоспособного возраста в общем количестве впервые в жизни зарегистрированных заболеваний в течение года у лиц старше трудоспособного возраста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6,6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6,8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7,0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впервые выявленных онкологических заболеваний при профилактических медицинских осмотрах, в том числе в рамках диспансеризации, в общем количестве впервые в жизни зарегистрированных онкологических заболеваний в течение года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21,1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21,15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21,2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Доля пациентов со злокачественными новообразованиями, состоящих на учете с момента установления диагноза 5 лет и более, в общем числе </w:t>
            </w: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lastRenderedPageBreak/>
              <w:t>пациентов со злокачественными новообразованиями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lastRenderedPageBreak/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59,0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59,3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59,5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впервые выявленных случаев онкологических заболеваний на ранних стадиях (I и II стадии) от общего количества онкологических заболеваний в течение года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61,7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62,4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62,8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пациентов со злокачественными новообразованиями, взятых под диспансерное наблюдение, в общем количестве пациентов со злокачественными новообразованиями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85,5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86,0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86,5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пациентов со злокачественными новообразованиями, выявленных активно, в общем количестве пациентов со злокачественными новообразованиями, взятых на диспансерное наблюдение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23,2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23,6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23,8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лиц, инфицированных вирусом иммунодефицита человека, получающих антиретровирусную терапию, в общем количестве лиц, инфицированных вирусом иммунодефицита человека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38,3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40,4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40,8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впервые выявленных случаев фиброзно-кавернозного туберкулеза в общем количестве выявленных случаев туберкулеза в течение года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пациентов с инфарктом миокарда, госпитализированных в первые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Доля пациентов с острым инфарктом миокарда, которым проведено </w:t>
            </w:r>
            <w:proofErr w:type="spellStart"/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стентирование</w:t>
            </w:r>
            <w:proofErr w:type="spellEnd"/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 коронарных артерий, в общем количестве пациентов с острым инфарктом миокарда, имеющих показания к его проведению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Доля пациентов с острым и повторным инфарктом миокарда, которым выездной бригадой скорой медицинской помощи проведен </w:t>
            </w:r>
            <w:proofErr w:type="spellStart"/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тромболизис</w:t>
            </w:r>
            <w:proofErr w:type="spellEnd"/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, в общем количестве </w:t>
            </w: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lastRenderedPageBreak/>
              <w:t>пациентов с острым и повторным инфарктом миокарда, имеющих показания к его проведению, которым оказана медицинская помощь выездными бригадами скорой медицинской помощи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lastRenderedPageBreak/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Доля пациентов с острым инфарктом миокарда, которым проведена </w:t>
            </w:r>
            <w:proofErr w:type="spellStart"/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тромболитическая</w:t>
            </w:r>
            <w:proofErr w:type="spellEnd"/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 терапия,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пациентов с острыми цереброваскулярными болезнями, госпитализированных в первые 6 часов от начала заболевания,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35,0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35,0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35,0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Доля пациентов с острым ишемическим инсультом, которым проведена </w:t>
            </w:r>
            <w:proofErr w:type="spellStart"/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тромболитическая</w:t>
            </w:r>
            <w:proofErr w:type="spellEnd"/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 в первые 6 часов от начала заболевания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Доля пациентов с острым ишемическим инсультом, которым проведена </w:t>
            </w:r>
            <w:proofErr w:type="spellStart"/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тромболитическая</w:t>
            </w:r>
            <w:proofErr w:type="spellEnd"/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4,8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5,2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пациентов, получивших паллиативную медицинскую помощь, в общем количестве пациентов, нуждающихся в паллиативной медицинской помощи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85,0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90,0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90,0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Доля пациентов, получающих обезболивание в рамках оказания </w:t>
            </w: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lastRenderedPageBreak/>
              <w:t>паллиативной медицинской помощи, в общем количестве пациентов, нуждающихся в обезболивании при оказании паллиативной медицинской помощи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lastRenderedPageBreak/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85,0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90,0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90,0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Количество обоснованных жалоб, в том числе на отказ в оказании медицинской помощи, предоставляемой в рамках Территориальной программы госгарантий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единиц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30,0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30,0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30,0</w:t>
            </w:r>
          </w:p>
        </w:tc>
      </w:tr>
      <w:tr w:rsidR="00BB6B09" w:rsidRPr="00BB6B09" w:rsidTr="00BB6B09">
        <w:tc>
          <w:tcPr>
            <w:tcW w:w="99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Критерии доступности медицинской помощи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Обеспеченность населения врачами, оказывающими медицинскую помощь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 тыс.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38,5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38,5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38,5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городское население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 тыс.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74,5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74,5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74,5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сельское население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 тыс.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17,5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17,5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17,5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в том числе: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jc w:val="left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35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jc w:val="left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в амбулаторных условиях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 тыс.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19,3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19,3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19,3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в стационарных условиях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 тыс.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16,3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16,3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16,3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Обеспеченность населения средним медицинским персоналом, оказывающим медицинскую помощь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 тыс.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92,0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92,0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92,0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городское население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 тыс.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135,0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140,0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140,0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сельское население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 тыс.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49,5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50,0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50,0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в том числе: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jc w:val="left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35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jc w:val="left"/>
              <w:rPr>
                <w:rFonts w:ascii="Roboto" w:eastAsia="Times New Roman" w:hAnsi="Roboto" w:cs="Times New Roman"/>
                <w:sz w:val="20"/>
                <w:szCs w:val="20"/>
                <w:lang w:eastAsia="ru-RU"/>
              </w:rPr>
            </w:pP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в амбулаторных условиях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 тыс.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35,2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36,0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36,0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в стационарных условиях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 тыс. человек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45,0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45,5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45,5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расходов на оказание медицинской помощи в условиях дневных стационаров в общих расходах на Территориальную программу госгарантий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расходов на оказание медицинской помощи в амбулаторных условиях в неотложной форме в общих расходах на Территориальную программу госгарантий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1,8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lastRenderedPageBreak/>
              <w:t>Доля охвата диспансеризацией взрослого населения, подлежащего диспансеризации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22,6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25,0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26,5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охвата профилактическими медицинскими осмотрами взрослого населения, в том числе городских и сельских жителей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9,8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12,0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16,0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городские жители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41,9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45,8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56,9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сельские жители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40,6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44,8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55,8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охвата профилактическими медицинскими осмотрами детей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97,2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97,3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97,3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городских жителей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97,8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97,9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97,9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сельских жителей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96,6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96,7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96,7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записей к врачу, совершенных гражданами без очного обращения в регистратуру медицинской организации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6,0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6,1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6,2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исполнительной власти, в общем числе пациентов, которым была оказана медицинская помощь в стационарных условиях в рамках территориальной программы обязательного медицинского страхования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Число лиц, проживающих в сельской местности, которым оказана скорая медицинская помощь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на 1000 человек сельского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215,2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215,2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215,2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фельдшерско-акушерских пунктов и фельдшерских пунктов, находящихся в аварийном состоянии и требующих капитального ремонта, в общем количестве фельдшерско-акушерских пунктов и фельдшерских пунктов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1,16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1,16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1,16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посещений выездной патронажной службы на дому для оказания паллиативной медицинской помощи взрослому населению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15,05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15,1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15,15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 xml:space="preserve">Число пациентов, получивших паллиативную медицинскую помощь </w:t>
            </w: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lastRenderedPageBreak/>
              <w:t>по месту жительства, в том числе на дому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lastRenderedPageBreak/>
              <w:t>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350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400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400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Число пациентов, которым оказана паллиативная медицинская помощь по месту их фактического пребывания за пределами субъекта Российской Федерации, на территории которого указанные пациенты зарегистрированы по месту жительства &lt;*&gt;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&lt;*&gt; всем по факту обращения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-</w:t>
            </w:r>
          </w:p>
        </w:tc>
      </w:tr>
      <w:tr w:rsidR="00BB6B09" w:rsidRPr="00BB6B09" w:rsidTr="00BB6B09"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Доля женщин, которым проведено экстракорпоральное оплодотворение, в общем количестве женщин с бесплодием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jc w:val="lef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38,0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38,0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B6B09" w:rsidRPr="00BB6B09" w:rsidRDefault="00BB6B09" w:rsidP="00BB6B09">
            <w:pPr>
              <w:spacing w:line="315" w:lineRule="atLeast"/>
              <w:textAlignment w:val="baseline"/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</w:pPr>
            <w:r w:rsidRPr="00BB6B09">
              <w:rPr>
                <w:rFonts w:ascii="Roboto" w:eastAsia="Times New Roman" w:hAnsi="Roboto" w:cs="Times New Roman"/>
                <w:color w:val="2D2D2D"/>
                <w:sz w:val="21"/>
                <w:szCs w:val="21"/>
                <w:lang w:eastAsia="ru-RU"/>
              </w:rPr>
              <w:t>38,0</w:t>
            </w:r>
          </w:p>
        </w:tc>
      </w:tr>
    </w:tbl>
    <w:p w:rsidR="00BB6B09" w:rsidRPr="00BB6B09" w:rsidRDefault="00BB6B09" w:rsidP="00BB6B09">
      <w:pPr>
        <w:rPr>
          <w:rFonts w:ascii="Roboto" w:hAnsi="Roboto"/>
        </w:rPr>
      </w:pPr>
    </w:p>
    <w:sectPr w:rsidR="00BB6B09" w:rsidRPr="00BB6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409"/>
    <w:rsid w:val="00504CD9"/>
    <w:rsid w:val="007C3409"/>
    <w:rsid w:val="00BB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498D8"/>
  <w15:chartTrackingRefBased/>
  <w15:docId w15:val="{C6BECD05-1D39-4789-9F9C-41089EF51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B6B09"/>
    <w:pPr>
      <w:spacing w:before="100" w:beforeAutospacing="1" w:after="100" w:afterAutospacing="1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B6B09"/>
    <w:rPr>
      <w:rFonts w:eastAsia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BB6B09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2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1369</Words>
  <Characters>7808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РЦ ПМСП РК</dc:creator>
  <cp:keywords/>
  <dc:description/>
  <cp:lastModifiedBy>РЦ ПМСП РК</cp:lastModifiedBy>
  <cp:revision>2</cp:revision>
  <dcterms:created xsi:type="dcterms:W3CDTF">2020-08-06T19:05:00Z</dcterms:created>
  <dcterms:modified xsi:type="dcterms:W3CDTF">2020-08-06T19:11:00Z</dcterms:modified>
</cp:coreProperties>
</file>